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B99D" w14:textId="1AA1D623" w:rsidR="00B2675B" w:rsidRPr="00256C21" w:rsidRDefault="008D5BB5" w:rsidP="00B2675B">
      <w:pPr>
        <w:pStyle w:val="Overskrift2"/>
        <w:rPr>
          <w:b/>
          <w:lang w:val="en-GB"/>
        </w:rPr>
      </w:pPr>
      <w:r>
        <w:rPr>
          <w:rStyle w:val="Overskrift2Tegn"/>
          <w:b/>
          <w:lang w:val="en-US"/>
        </w:rPr>
        <w:t>Koda</w:t>
      </w:r>
      <w:r w:rsidRPr="008D5BB5">
        <w:rPr>
          <w:rStyle w:val="Overskrift2Tegn"/>
          <w:b/>
          <w:lang w:val="en-US"/>
        </w:rPr>
        <w:t xml:space="preserve">'s use of </w:t>
      </w:r>
      <w:r w:rsidR="00D04A13">
        <w:rPr>
          <w:rStyle w:val="Overskrift2Tegn"/>
          <w:b/>
          <w:lang w:val="en-US"/>
        </w:rPr>
        <w:t>non-</w:t>
      </w:r>
      <w:r w:rsidR="006C032A">
        <w:rPr>
          <w:rStyle w:val="Overskrift2Tegn"/>
          <w:b/>
          <w:lang w:val="en-US"/>
        </w:rPr>
        <w:t xml:space="preserve">distributable </w:t>
      </w:r>
      <w:r w:rsidRPr="008D5BB5">
        <w:rPr>
          <w:rStyle w:val="Overskrift2Tegn"/>
          <w:b/>
          <w:lang w:val="en-US"/>
        </w:rPr>
        <w:t>amounts</w:t>
      </w:r>
      <w:r>
        <w:rPr>
          <w:rStyle w:val="Overskrift2Tegn"/>
          <w:b/>
          <w:lang w:val="en-US"/>
        </w:rPr>
        <w:t xml:space="preserve">, </w:t>
      </w:r>
      <w:r w:rsidRPr="008D5BB5">
        <w:rPr>
          <w:rStyle w:val="Overskrift2Tegn"/>
          <w:b/>
          <w:lang w:val="en-US"/>
        </w:rPr>
        <w:t xml:space="preserve">for the </w:t>
      </w:r>
      <w:r>
        <w:rPr>
          <w:rStyle w:val="Overskrift2Tegn"/>
          <w:b/>
          <w:lang w:val="en-US"/>
        </w:rPr>
        <w:t>financial year 20</w:t>
      </w:r>
      <w:r w:rsidR="00D04A13">
        <w:rPr>
          <w:rStyle w:val="Overskrift2Tegn"/>
          <w:b/>
          <w:lang w:val="en-US"/>
        </w:rPr>
        <w:t>2</w:t>
      </w:r>
      <w:r w:rsidR="00EB6E72">
        <w:rPr>
          <w:rStyle w:val="Overskrift2Tegn"/>
          <w:b/>
          <w:lang w:val="en-US"/>
        </w:rPr>
        <w:t>1</w:t>
      </w:r>
      <w:r w:rsidR="00B2675B">
        <w:rPr>
          <w:rFonts w:asciiTheme="minorHAnsi" w:hAnsiTheme="minorHAnsi" w:cstheme="minorHAnsi"/>
          <w:lang w:val="en-GB"/>
        </w:rPr>
        <w:t xml:space="preserve">, as recommended by Koda’s Board for the General Assembly’s adoption on </w:t>
      </w:r>
      <w:r w:rsidR="00EB6E72">
        <w:rPr>
          <w:rFonts w:asciiTheme="minorHAnsi" w:hAnsiTheme="minorHAnsi" w:cstheme="minorHAnsi"/>
          <w:lang w:val="en-GB"/>
        </w:rPr>
        <w:t xml:space="preserve">25 April </w:t>
      </w:r>
      <w:r w:rsidR="00B2675B">
        <w:rPr>
          <w:rFonts w:asciiTheme="minorHAnsi" w:hAnsiTheme="minorHAnsi" w:cstheme="minorHAnsi"/>
          <w:lang w:val="en-GB"/>
        </w:rPr>
        <w:t>20</w:t>
      </w:r>
      <w:r w:rsidR="000705C2">
        <w:rPr>
          <w:rFonts w:asciiTheme="minorHAnsi" w:hAnsiTheme="minorHAnsi" w:cstheme="minorHAnsi"/>
          <w:lang w:val="en-GB"/>
        </w:rPr>
        <w:t>2</w:t>
      </w:r>
      <w:r w:rsidR="00EB6E72">
        <w:rPr>
          <w:rFonts w:asciiTheme="minorHAnsi" w:hAnsiTheme="minorHAnsi" w:cstheme="minorHAnsi"/>
          <w:lang w:val="en-GB"/>
        </w:rPr>
        <w:t>2 (unaltered – except for the amounts)</w:t>
      </w:r>
    </w:p>
    <w:p w14:paraId="16148BFD" w14:textId="7AC8190A" w:rsidR="008D5BB5" w:rsidRDefault="00D83947">
      <w:pPr>
        <w:rPr>
          <w:rFonts w:cs="Arial"/>
          <w:color w:val="222222"/>
          <w:sz w:val="20"/>
          <w:szCs w:val="20"/>
          <w:lang w:val="en"/>
        </w:rPr>
      </w:pPr>
      <w:r w:rsidRPr="008D5BB5">
        <w:rPr>
          <w:rFonts w:cs="Arial"/>
          <w:color w:val="222222"/>
          <w:sz w:val="20"/>
          <w:szCs w:val="20"/>
          <w:lang w:val="en"/>
        </w:rPr>
        <w:br/>
      </w:r>
      <w:r w:rsidR="008D5BB5">
        <w:rPr>
          <w:rFonts w:cs="Arial"/>
          <w:color w:val="222222"/>
          <w:sz w:val="20"/>
          <w:szCs w:val="20"/>
          <w:lang w:val="en"/>
        </w:rPr>
        <w:t xml:space="preserve">It </w:t>
      </w:r>
      <w:r w:rsidR="00B2675B">
        <w:rPr>
          <w:rFonts w:cs="Arial"/>
          <w:color w:val="222222"/>
          <w:sz w:val="20"/>
          <w:szCs w:val="20"/>
          <w:lang w:val="en"/>
        </w:rPr>
        <w:t xml:space="preserve">is recommended </w:t>
      </w:r>
      <w:r w:rsidR="008D5BB5">
        <w:rPr>
          <w:rFonts w:cs="Arial"/>
          <w:color w:val="222222"/>
          <w:sz w:val="20"/>
          <w:szCs w:val="20"/>
          <w:lang w:val="en"/>
        </w:rPr>
        <w:t xml:space="preserve">that </w:t>
      </w:r>
      <w:r w:rsidRPr="008D5BB5">
        <w:rPr>
          <w:rFonts w:cs="Arial"/>
          <w:color w:val="222222"/>
          <w:sz w:val="20"/>
          <w:szCs w:val="20"/>
          <w:lang w:val="en"/>
        </w:rPr>
        <w:t xml:space="preserve">the following applies </w:t>
      </w:r>
      <w:r w:rsidR="008D5BB5">
        <w:rPr>
          <w:rFonts w:cs="Arial"/>
          <w:color w:val="222222"/>
          <w:sz w:val="20"/>
          <w:szCs w:val="20"/>
          <w:lang w:val="en"/>
        </w:rPr>
        <w:t xml:space="preserve">for the </w:t>
      </w:r>
      <w:r w:rsidRPr="008D5BB5">
        <w:rPr>
          <w:rFonts w:cs="Arial"/>
          <w:color w:val="222222"/>
          <w:sz w:val="20"/>
          <w:szCs w:val="20"/>
          <w:lang w:val="en"/>
        </w:rPr>
        <w:t xml:space="preserve">amounts </w:t>
      </w:r>
      <w:r w:rsidR="008D5BB5">
        <w:rPr>
          <w:rFonts w:cs="Arial"/>
          <w:color w:val="222222"/>
          <w:sz w:val="20"/>
          <w:szCs w:val="20"/>
          <w:lang w:val="en"/>
        </w:rPr>
        <w:t xml:space="preserve">that was to be considered non-distributable by the </w:t>
      </w:r>
      <w:r w:rsidRPr="008D5BB5">
        <w:rPr>
          <w:rFonts w:cs="Arial"/>
          <w:color w:val="222222"/>
          <w:sz w:val="20"/>
          <w:szCs w:val="20"/>
          <w:lang w:val="en"/>
        </w:rPr>
        <w:t>end of the financial year</w:t>
      </w:r>
      <w:r w:rsidR="008D5BB5">
        <w:rPr>
          <w:rFonts w:cs="Arial"/>
          <w:color w:val="222222"/>
          <w:sz w:val="20"/>
          <w:szCs w:val="20"/>
          <w:lang w:val="en"/>
        </w:rPr>
        <w:t xml:space="preserve"> </w:t>
      </w:r>
      <w:r w:rsidRPr="008D5BB5">
        <w:rPr>
          <w:rFonts w:cs="Arial"/>
          <w:color w:val="222222"/>
          <w:sz w:val="20"/>
          <w:szCs w:val="20"/>
          <w:lang w:val="en"/>
        </w:rPr>
        <w:t>20</w:t>
      </w:r>
      <w:r w:rsidR="000705C2">
        <w:rPr>
          <w:rFonts w:cs="Arial"/>
          <w:color w:val="222222"/>
          <w:sz w:val="20"/>
          <w:szCs w:val="20"/>
          <w:lang w:val="en"/>
        </w:rPr>
        <w:t>20</w:t>
      </w:r>
      <w:r w:rsidRPr="008D5BB5">
        <w:rPr>
          <w:rFonts w:cs="Arial"/>
          <w:color w:val="222222"/>
          <w:sz w:val="20"/>
          <w:szCs w:val="20"/>
          <w:lang w:val="en"/>
        </w:rPr>
        <w:t>:</w:t>
      </w:r>
    </w:p>
    <w:p w14:paraId="2DF1CE36" w14:textId="2565F2AB" w:rsidR="008D5BB5" w:rsidRPr="00EB6E72" w:rsidRDefault="00D83947">
      <w:pPr>
        <w:rPr>
          <w:rFonts w:cs="Arial"/>
          <w:color w:val="222222"/>
          <w:sz w:val="20"/>
          <w:szCs w:val="20"/>
          <w:lang w:val="en-US"/>
        </w:rPr>
      </w:pPr>
      <w:r w:rsidRPr="008D5BB5">
        <w:rPr>
          <w:rFonts w:cs="Arial"/>
          <w:color w:val="222222"/>
          <w:sz w:val="20"/>
          <w:szCs w:val="20"/>
          <w:lang w:val="en"/>
        </w:rPr>
        <w:br/>
      </w:r>
      <w:r w:rsidR="000705C2">
        <w:rPr>
          <w:rFonts w:cs="Arial"/>
          <w:b/>
          <w:color w:val="222222"/>
          <w:sz w:val="20"/>
          <w:szCs w:val="20"/>
          <w:lang w:val="en"/>
        </w:rPr>
        <w:t>1</w:t>
      </w:r>
      <w:r w:rsidRPr="00322FEB">
        <w:rPr>
          <w:rFonts w:cs="Arial"/>
          <w:b/>
          <w:color w:val="222222"/>
          <w:sz w:val="20"/>
          <w:szCs w:val="20"/>
          <w:lang w:val="en"/>
        </w:rPr>
        <w:t xml:space="preserve">. Amount that is </w:t>
      </w:r>
      <w:r w:rsidR="00D04A13">
        <w:rPr>
          <w:rFonts w:cs="Arial"/>
          <w:b/>
          <w:color w:val="222222"/>
          <w:sz w:val="20"/>
          <w:szCs w:val="20"/>
          <w:lang w:val="en"/>
        </w:rPr>
        <w:t>non-</w:t>
      </w:r>
      <w:r w:rsidR="008D5BB5" w:rsidRPr="00322FEB">
        <w:rPr>
          <w:rFonts w:cs="Arial"/>
          <w:b/>
          <w:color w:val="222222"/>
          <w:sz w:val="20"/>
          <w:szCs w:val="20"/>
          <w:lang w:val="en"/>
        </w:rPr>
        <w:t xml:space="preserve">distributable </w:t>
      </w:r>
      <w:r w:rsidRPr="00322FEB">
        <w:rPr>
          <w:rFonts w:cs="Arial"/>
          <w:b/>
          <w:color w:val="222222"/>
          <w:sz w:val="20"/>
          <w:szCs w:val="20"/>
          <w:lang w:val="en"/>
        </w:rPr>
        <w:t xml:space="preserve">because </w:t>
      </w:r>
      <w:r w:rsidR="008D5BB5" w:rsidRPr="00322FEB">
        <w:rPr>
          <w:rFonts w:cs="Arial"/>
          <w:b/>
          <w:color w:val="222222"/>
          <w:sz w:val="20"/>
          <w:szCs w:val="20"/>
          <w:lang w:val="en"/>
        </w:rPr>
        <w:t xml:space="preserve">the </w:t>
      </w:r>
      <w:r w:rsidRPr="00322FEB">
        <w:rPr>
          <w:rFonts w:cs="Arial"/>
          <w:b/>
          <w:color w:val="222222"/>
          <w:sz w:val="20"/>
          <w:szCs w:val="20"/>
          <w:lang w:val="en"/>
        </w:rPr>
        <w:t xml:space="preserve">works </w:t>
      </w:r>
      <w:r w:rsidR="008519EB" w:rsidRPr="00322FEB">
        <w:rPr>
          <w:rFonts w:cs="Arial"/>
          <w:b/>
          <w:color w:val="222222"/>
          <w:sz w:val="20"/>
          <w:szCs w:val="20"/>
          <w:lang w:val="en"/>
        </w:rPr>
        <w:t xml:space="preserve">have </w:t>
      </w:r>
      <w:r w:rsidRPr="00322FEB">
        <w:rPr>
          <w:rFonts w:cs="Arial"/>
          <w:b/>
          <w:color w:val="222222"/>
          <w:sz w:val="20"/>
          <w:szCs w:val="20"/>
          <w:lang w:val="en"/>
        </w:rPr>
        <w:t xml:space="preserve">not </w:t>
      </w:r>
      <w:r w:rsidR="008519EB" w:rsidRPr="00322FEB">
        <w:rPr>
          <w:rFonts w:cs="Arial"/>
          <w:b/>
          <w:color w:val="222222"/>
          <w:sz w:val="20"/>
          <w:szCs w:val="20"/>
          <w:lang w:val="en"/>
        </w:rPr>
        <w:t xml:space="preserve">been clearly and </w:t>
      </w:r>
      <w:r w:rsidRPr="00322FEB">
        <w:rPr>
          <w:rFonts w:cs="Arial"/>
          <w:b/>
          <w:color w:val="222222"/>
          <w:sz w:val="20"/>
          <w:szCs w:val="20"/>
          <w:lang w:val="en"/>
        </w:rPr>
        <w:t xml:space="preserve">unambiguously </w:t>
      </w:r>
      <w:proofErr w:type="spellStart"/>
      <w:r w:rsidR="008519EB" w:rsidRPr="00322FEB">
        <w:rPr>
          <w:rFonts w:cs="Arial"/>
          <w:b/>
          <w:color w:val="222222"/>
          <w:sz w:val="20"/>
          <w:szCs w:val="20"/>
          <w:lang w:val="en"/>
        </w:rPr>
        <w:t>notificated</w:t>
      </w:r>
      <w:proofErr w:type="spellEnd"/>
      <w:r w:rsidRPr="00322FEB">
        <w:rPr>
          <w:rFonts w:cs="Arial"/>
          <w:b/>
          <w:color w:val="222222"/>
          <w:sz w:val="20"/>
          <w:szCs w:val="20"/>
          <w:lang w:val="en"/>
        </w:rPr>
        <w:t xml:space="preserve"> to Koda</w:t>
      </w:r>
      <w:r w:rsidRPr="00322FEB">
        <w:rPr>
          <w:rFonts w:cs="Arial"/>
          <w:b/>
          <w:color w:val="222222"/>
          <w:sz w:val="20"/>
          <w:szCs w:val="20"/>
          <w:lang w:val="en"/>
        </w:rPr>
        <w:br/>
      </w:r>
      <w:r w:rsidR="000705C2" w:rsidRPr="008D5BB5">
        <w:rPr>
          <w:rFonts w:cs="Arial"/>
          <w:color w:val="222222"/>
          <w:sz w:val="20"/>
          <w:szCs w:val="20"/>
          <w:lang w:val="en"/>
        </w:rPr>
        <w:t>For the financial year 20</w:t>
      </w:r>
      <w:r w:rsidR="000705C2">
        <w:rPr>
          <w:rFonts w:cs="Arial"/>
          <w:color w:val="222222"/>
          <w:sz w:val="20"/>
          <w:szCs w:val="20"/>
          <w:lang w:val="en"/>
        </w:rPr>
        <w:t>2</w:t>
      </w:r>
      <w:r w:rsidR="00EB6E72">
        <w:rPr>
          <w:rFonts w:cs="Arial"/>
          <w:color w:val="222222"/>
          <w:sz w:val="20"/>
          <w:szCs w:val="20"/>
          <w:lang w:val="en"/>
        </w:rPr>
        <w:t>1</w:t>
      </w:r>
      <w:r w:rsidR="000705C2">
        <w:rPr>
          <w:rFonts w:cs="Arial"/>
          <w:color w:val="222222"/>
          <w:sz w:val="20"/>
          <w:szCs w:val="20"/>
          <w:lang w:val="en"/>
        </w:rPr>
        <w:t>,</w:t>
      </w:r>
      <w:r w:rsidR="000705C2" w:rsidRPr="008D5BB5">
        <w:rPr>
          <w:rFonts w:cs="Arial"/>
          <w:color w:val="222222"/>
          <w:sz w:val="20"/>
          <w:szCs w:val="20"/>
          <w:lang w:val="en"/>
        </w:rPr>
        <w:t xml:space="preserve"> the amount </w:t>
      </w:r>
      <w:r w:rsidR="000705C2">
        <w:rPr>
          <w:rFonts w:cs="Arial"/>
          <w:color w:val="222222"/>
          <w:sz w:val="20"/>
          <w:szCs w:val="20"/>
          <w:lang w:val="en"/>
        </w:rPr>
        <w:t xml:space="preserve">is </w:t>
      </w:r>
      <w:r w:rsidR="000705C2" w:rsidRPr="008D5BB5">
        <w:rPr>
          <w:rFonts w:cs="Arial"/>
          <w:color w:val="222222"/>
          <w:sz w:val="20"/>
          <w:szCs w:val="20"/>
          <w:lang w:val="en"/>
        </w:rPr>
        <w:t xml:space="preserve">DKK </w:t>
      </w:r>
      <w:r w:rsidR="00EB6E72" w:rsidRPr="00EB6E72">
        <w:rPr>
          <w:lang w:val="en-US"/>
        </w:rPr>
        <w:t>4</w:t>
      </w:r>
      <w:r w:rsidR="00EB6E72">
        <w:rPr>
          <w:lang w:val="en-US"/>
        </w:rPr>
        <w:t>,</w:t>
      </w:r>
      <w:r w:rsidR="00EB6E72" w:rsidRPr="00EB6E72">
        <w:rPr>
          <w:lang w:val="en-US"/>
        </w:rPr>
        <w:t>456</w:t>
      </w:r>
      <w:r w:rsidR="00EB6E72">
        <w:rPr>
          <w:lang w:val="en-US"/>
        </w:rPr>
        <w:t>,</w:t>
      </w:r>
      <w:r w:rsidR="00EB6E72" w:rsidRPr="00EB6E72">
        <w:rPr>
          <w:lang w:val="en-US"/>
        </w:rPr>
        <w:t>354</w:t>
      </w:r>
      <w:r w:rsidR="00EB6E72">
        <w:rPr>
          <w:lang w:val="en-US"/>
        </w:rPr>
        <w:t>.</w:t>
      </w:r>
      <w:r w:rsidR="00EB6E72" w:rsidRPr="00EB6E72">
        <w:rPr>
          <w:lang w:val="en-US"/>
        </w:rPr>
        <w:t>76</w:t>
      </w:r>
    </w:p>
    <w:p w14:paraId="3080BDDE" w14:textId="409DB0A8" w:rsidR="00B2675B" w:rsidRDefault="00B2675B">
      <w:pPr>
        <w:rPr>
          <w:rFonts w:cs="Arial"/>
          <w:color w:val="222222"/>
          <w:sz w:val="20"/>
          <w:szCs w:val="20"/>
          <w:lang w:val="en"/>
        </w:rPr>
      </w:pPr>
      <w:r>
        <w:rPr>
          <w:rFonts w:cs="Arial"/>
          <w:color w:val="222222"/>
          <w:sz w:val="20"/>
          <w:szCs w:val="20"/>
          <w:lang w:val="en"/>
        </w:rPr>
        <w:t xml:space="preserve">This concerns amounts from distributions </w:t>
      </w:r>
      <w:r w:rsidR="000705C2">
        <w:rPr>
          <w:rFonts w:cs="Arial"/>
          <w:color w:val="222222"/>
          <w:sz w:val="20"/>
          <w:szCs w:val="20"/>
          <w:lang w:val="en"/>
        </w:rPr>
        <w:t>in 2017</w:t>
      </w:r>
      <w:r>
        <w:rPr>
          <w:rFonts w:cs="Arial"/>
          <w:color w:val="222222"/>
          <w:sz w:val="20"/>
          <w:szCs w:val="20"/>
          <w:lang w:val="en"/>
        </w:rPr>
        <w:t xml:space="preserve"> allocated to works not duly </w:t>
      </w:r>
      <w:proofErr w:type="spellStart"/>
      <w:r>
        <w:rPr>
          <w:rFonts w:cs="Arial"/>
          <w:color w:val="222222"/>
          <w:sz w:val="20"/>
          <w:szCs w:val="20"/>
          <w:lang w:val="en"/>
        </w:rPr>
        <w:t>notificated</w:t>
      </w:r>
      <w:proofErr w:type="spellEnd"/>
      <w:r w:rsidR="000705C2">
        <w:rPr>
          <w:rFonts w:cs="Arial"/>
          <w:color w:val="222222"/>
          <w:sz w:val="20"/>
          <w:szCs w:val="20"/>
          <w:lang w:val="en"/>
        </w:rPr>
        <w:t>,  which after three years of reservation are classified as non-distributable</w:t>
      </w:r>
      <w:r>
        <w:rPr>
          <w:rFonts w:cs="Arial"/>
          <w:color w:val="222222"/>
          <w:sz w:val="20"/>
          <w:szCs w:val="20"/>
          <w:lang w:val="en"/>
        </w:rPr>
        <w:t xml:space="preserve">. </w:t>
      </w:r>
    </w:p>
    <w:p w14:paraId="5600B5BA" w14:textId="2CE663FA" w:rsidR="008D5BB5" w:rsidRPr="00680B1D" w:rsidRDefault="00D83947">
      <w:pPr>
        <w:rPr>
          <w:rFonts w:cs="Arial"/>
          <w:color w:val="222222"/>
          <w:sz w:val="20"/>
          <w:szCs w:val="20"/>
          <w:lang w:val="en-US"/>
        </w:rPr>
      </w:pPr>
      <w:r w:rsidRPr="008D5BB5">
        <w:rPr>
          <w:rFonts w:cs="Arial"/>
          <w:color w:val="222222"/>
          <w:sz w:val="20"/>
          <w:szCs w:val="20"/>
          <w:lang w:val="en"/>
        </w:rPr>
        <w:br/>
      </w:r>
      <w:r w:rsidRPr="00322FEB">
        <w:rPr>
          <w:rFonts w:cs="Arial"/>
          <w:b/>
          <w:color w:val="222222"/>
          <w:sz w:val="20"/>
          <w:szCs w:val="20"/>
          <w:lang w:val="en"/>
        </w:rPr>
        <w:t xml:space="preserve">3. Amount that is </w:t>
      </w:r>
      <w:r w:rsidR="00D04A13">
        <w:rPr>
          <w:rFonts w:cs="Arial"/>
          <w:b/>
          <w:color w:val="222222"/>
          <w:sz w:val="20"/>
          <w:szCs w:val="20"/>
          <w:lang w:val="en"/>
        </w:rPr>
        <w:t>non-</w:t>
      </w:r>
      <w:r w:rsidR="008D5BB5" w:rsidRPr="00322FEB">
        <w:rPr>
          <w:rFonts w:cs="Arial"/>
          <w:b/>
          <w:color w:val="222222"/>
          <w:sz w:val="20"/>
          <w:szCs w:val="20"/>
          <w:lang w:val="en"/>
        </w:rPr>
        <w:t xml:space="preserve">distributable </w:t>
      </w:r>
      <w:r w:rsidRPr="00322FEB">
        <w:rPr>
          <w:rFonts w:cs="Arial"/>
          <w:b/>
          <w:color w:val="222222"/>
          <w:sz w:val="20"/>
          <w:szCs w:val="20"/>
          <w:lang w:val="en"/>
        </w:rPr>
        <w:t xml:space="preserve">because the </w:t>
      </w:r>
      <w:proofErr w:type="spellStart"/>
      <w:r w:rsidRPr="00322FEB">
        <w:rPr>
          <w:rFonts w:cs="Arial"/>
          <w:b/>
          <w:color w:val="222222"/>
          <w:sz w:val="20"/>
          <w:szCs w:val="20"/>
          <w:lang w:val="en"/>
        </w:rPr>
        <w:t>rightholder</w:t>
      </w:r>
      <w:r w:rsidR="008D5BB5" w:rsidRPr="00322FEB">
        <w:rPr>
          <w:rFonts w:cs="Arial"/>
          <w:b/>
          <w:color w:val="222222"/>
          <w:sz w:val="20"/>
          <w:szCs w:val="20"/>
          <w:lang w:val="en"/>
        </w:rPr>
        <w:t>s</w:t>
      </w:r>
      <w:proofErr w:type="spellEnd"/>
      <w:r w:rsidR="008D5BB5" w:rsidRPr="00322FEB">
        <w:rPr>
          <w:rFonts w:cs="Arial"/>
          <w:b/>
          <w:color w:val="222222"/>
          <w:sz w:val="20"/>
          <w:szCs w:val="20"/>
          <w:lang w:val="en"/>
        </w:rPr>
        <w:t xml:space="preserve"> can</w:t>
      </w:r>
      <w:r w:rsidRPr="00322FEB">
        <w:rPr>
          <w:rFonts w:cs="Arial"/>
          <w:b/>
          <w:color w:val="222222"/>
          <w:sz w:val="20"/>
          <w:szCs w:val="20"/>
          <w:lang w:val="en"/>
        </w:rPr>
        <w:t>not be located</w:t>
      </w:r>
      <w:r w:rsidRPr="008D5BB5">
        <w:rPr>
          <w:rFonts w:cs="Arial"/>
          <w:color w:val="222222"/>
          <w:sz w:val="20"/>
          <w:szCs w:val="20"/>
          <w:lang w:val="en"/>
        </w:rPr>
        <w:br/>
        <w:t>For the financial year 20</w:t>
      </w:r>
      <w:r w:rsidR="00D04A13">
        <w:rPr>
          <w:rFonts w:cs="Arial"/>
          <w:color w:val="222222"/>
          <w:sz w:val="20"/>
          <w:szCs w:val="20"/>
          <w:lang w:val="en"/>
        </w:rPr>
        <w:t>2</w:t>
      </w:r>
      <w:r w:rsidR="008F035C">
        <w:rPr>
          <w:rFonts w:cs="Arial"/>
          <w:color w:val="222222"/>
          <w:sz w:val="20"/>
          <w:szCs w:val="20"/>
          <w:lang w:val="en"/>
        </w:rPr>
        <w:t>1</w:t>
      </w:r>
      <w:r w:rsidR="00322FEB">
        <w:rPr>
          <w:rFonts w:cs="Arial"/>
          <w:color w:val="222222"/>
          <w:sz w:val="20"/>
          <w:szCs w:val="20"/>
          <w:lang w:val="en"/>
        </w:rPr>
        <w:t>,</w:t>
      </w:r>
      <w:r w:rsidRPr="008D5BB5">
        <w:rPr>
          <w:rFonts w:cs="Arial"/>
          <w:color w:val="222222"/>
          <w:sz w:val="20"/>
          <w:szCs w:val="20"/>
          <w:lang w:val="en"/>
        </w:rPr>
        <w:t xml:space="preserve"> the amount </w:t>
      </w:r>
      <w:r w:rsidR="00322FEB">
        <w:rPr>
          <w:rFonts w:cs="Arial"/>
          <w:color w:val="222222"/>
          <w:sz w:val="20"/>
          <w:szCs w:val="20"/>
          <w:lang w:val="en"/>
        </w:rPr>
        <w:t xml:space="preserve">is </w:t>
      </w:r>
      <w:r w:rsidRPr="008D5BB5">
        <w:rPr>
          <w:rFonts w:cs="Arial"/>
          <w:color w:val="222222"/>
          <w:sz w:val="20"/>
          <w:szCs w:val="20"/>
          <w:lang w:val="en"/>
        </w:rPr>
        <w:t xml:space="preserve">DKK </w:t>
      </w:r>
      <w:r w:rsidR="008F035C" w:rsidRPr="008F035C">
        <w:rPr>
          <w:lang w:val="en-US"/>
        </w:rPr>
        <w:t>8</w:t>
      </w:r>
      <w:r w:rsidR="008F035C" w:rsidRPr="008F035C">
        <w:rPr>
          <w:lang w:val="en-US"/>
        </w:rPr>
        <w:t>,</w:t>
      </w:r>
      <w:r w:rsidR="008F035C" w:rsidRPr="008F035C">
        <w:rPr>
          <w:lang w:val="en-US"/>
        </w:rPr>
        <w:t>652</w:t>
      </w:r>
      <w:r w:rsidR="008F035C" w:rsidRPr="008F035C">
        <w:rPr>
          <w:lang w:val="en-US"/>
        </w:rPr>
        <w:t>,</w:t>
      </w:r>
      <w:r w:rsidR="008F035C" w:rsidRPr="008F035C">
        <w:rPr>
          <w:lang w:val="en-US"/>
        </w:rPr>
        <w:t>328</w:t>
      </w:r>
      <w:r w:rsidR="008F035C" w:rsidRPr="008F035C">
        <w:rPr>
          <w:lang w:val="en-US"/>
        </w:rPr>
        <w:t>.</w:t>
      </w:r>
      <w:r w:rsidR="008F035C" w:rsidRPr="008F035C">
        <w:rPr>
          <w:lang w:val="en-US"/>
        </w:rPr>
        <w:t>85</w:t>
      </w:r>
      <w:r w:rsidR="00680B1D" w:rsidRPr="00680B1D">
        <w:rPr>
          <w:lang w:val="en-US"/>
        </w:rPr>
        <w:t xml:space="preserve"> </w:t>
      </w:r>
    </w:p>
    <w:p w14:paraId="3762D122" w14:textId="26F7CAB6" w:rsidR="00680B1D" w:rsidRDefault="00680B1D">
      <w:pPr>
        <w:rPr>
          <w:rFonts w:cs="Arial"/>
          <w:color w:val="222222"/>
          <w:sz w:val="20"/>
          <w:szCs w:val="20"/>
          <w:lang w:val="en-US"/>
        </w:rPr>
      </w:pPr>
      <w:r>
        <w:rPr>
          <w:rFonts w:cs="Arial"/>
          <w:color w:val="222222"/>
          <w:sz w:val="20"/>
          <w:szCs w:val="20"/>
          <w:lang w:val="en-US"/>
        </w:rPr>
        <w:t>The amount is constituted by amounts allocated to internal accounts of certain members and non-members that Koda after three years of reservation has not been able to pay out, The amount covers reservations made in 201</w:t>
      </w:r>
      <w:r w:rsidR="008F035C">
        <w:rPr>
          <w:rFonts w:cs="Arial"/>
          <w:color w:val="222222"/>
          <w:sz w:val="20"/>
          <w:szCs w:val="20"/>
          <w:lang w:val="en-US"/>
        </w:rPr>
        <w:t>8</w:t>
      </w:r>
      <w:r>
        <w:rPr>
          <w:rFonts w:cs="Arial"/>
          <w:color w:val="222222"/>
          <w:sz w:val="20"/>
          <w:szCs w:val="20"/>
          <w:lang w:val="en-US"/>
        </w:rPr>
        <w:t>.</w:t>
      </w:r>
    </w:p>
    <w:p w14:paraId="744896BB" w14:textId="7D0B5903" w:rsidR="0005403F" w:rsidRPr="00680B1D" w:rsidRDefault="00D83947">
      <w:pPr>
        <w:rPr>
          <w:b/>
          <w:bCs/>
          <w:sz w:val="20"/>
          <w:szCs w:val="20"/>
          <w:lang w:val="en-US"/>
        </w:rPr>
      </w:pPr>
      <w:r w:rsidRPr="008D5BB5">
        <w:rPr>
          <w:rFonts w:cs="Arial"/>
          <w:color w:val="222222"/>
          <w:sz w:val="20"/>
          <w:szCs w:val="20"/>
          <w:lang w:val="en"/>
        </w:rPr>
        <w:br/>
      </w:r>
      <w:r w:rsidR="008D5BB5" w:rsidRPr="00680B1D">
        <w:rPr>
          <w:rFonts w:cs="Arial"/>
          <w:b/>
          <w:bCs/>
          <w:color w:val="222222"/>
          <w:sz w:val="20"/>
          <w:szCs w:val="20"/>
          <w:lang w:val="en"/>
        </w:rPr>
        <w:t>The a</w:t>
      </w:r>
      <w:r w:rsidRPr="00680B1D">
        <w:rPr>
          <w:rFonts w:cs="Arial"/>
          <w:b/>
          <w:bCs/>
          <w:color w:val="222222"/>
          <w:sz w:val="20"/>
          <w:szCs w:val="20"/>
          <w:lang w:val="en"/>
        </w:rPr>
        <w:t>mounts</w:t>
      </w:r>
      <w:r w:rsidR="008D5BB5" w:rsidRPr="00680B1D">
        <w:rPr>
          <w:rFonts w:cs="Arial"/>
          <w:b/>
          <w:bCs/>
          <w:color w:val="222222"/>
          <w:sz w:val="20"/>
          <w:szCs w:val="20"/>
          <w:lang w:val="en"/>
        </w:rPr>
        <w:t xml:space="preserve"> mentioned</w:t>
      </w:r>
      <w:r w:rsidRPr="00680B1D">
        <w:rPr>
          <w:rFonts w:cs="Arial"/>
          <w:b/>
          <w:bCs/>
          <w:color w:val="222222"/>
          <w:sz w:val="20"/>
          <w:szCs w:val="20"/>
          <w:lang w:val="en"/>
        </w:rPr>
        <w:t xml:space="preserve"> are distributed within the respective </w:t>
      </w:r>
      <w:r w:rsidR="008519EB" w:rsidRPr="00680B1D">
        <w:rPr>
          <w:rFonts w:cs="Arial"/>
          <w:b/>
          <w:bCs/>
          <w:color w:val="222222"/>
          <w:sz w:val="20"/>
          <w:szCs w:val="20"/>
          <w:lang w:val="en"/>
        </w:rPr>
        <w:t>distribution</w:t>
      </w:r>
      <w:r w:rsidRPr="00680B1D">
        <w:rPr>
          <w:rFonts w:cs="Arial"/>
          <w:b/>
          <w:bCs/>
          <w:color w:val="222222"/>
          <w:sz w:val="20"/>
          <w:szCs w:val="20"/>
          <w:lang w:val="en"/>
        </w:rPr>
        <w:t xml:space="preserve"> areas.</w:t>
      </w:r>
    </w:p>
    <w:sectPr w:rsidR="0005403F" w:rsidRPr="00680B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2EDA" w14:textId="77777777" w:rsidR="00B2675B" w:rsidRDefault="00B2675B" w:rsidP="00B2675B">
      <w:pPr>
        <w:spacing w:after="0" w:line="240" w:lineRule="auto"/>
      </w:pPr>
      <w:r>
        <w:separator/>
      </w:r>
    </w:p>
  </w:endnote>
  <w:endnote w:type="continuationSeparator" w:id="0">
    <w:p w14:paraId="1C4DF3F5" w14:textId="77777777" w:rsidR="00B2675B" w:rsidRDefault="00B2675B" w:rsidP="00B2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28D9" w14:textId="77777777" w:rsidR="00B2675B" w:rsidRDefault="00B2675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A180" w14:textId="77777777" w:rsidR="00B2675B" w:rsidRDefault="00B2675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3AF3" w14:textId="77777777" w:rsidR="00B2675B" w:rsidRDefault="00B2675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6EEF" w14:textId="77777777" w:rsidR="00B2675B" w:rsidRDefault="00B2675B" w:rsidP="00B2675B">
      <w:pPr>
        <w:spacing w:after="0" w:line="240" w:lineRule="auto"/>
      </w:pPr>
      <w:r>
        <w:separator/>
      </w:r>
    </w:p>
  </w:footnote>
  <w:footnote w:type="continuationSeparator" w:id="0">
    <w:p w14:paraId="6A73144B" w14:textId="77777777" w:rsidR="00B2675B" w:rsidRDefault="00B2675B" w:rsidP="00B2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B5D1" w14:textId="77777777" w:rsidR="00B2675B" w:rsidRDefault="008F035C">
    <w:pPr>
      <w:pStyle w:val="Sidehoved"/>
    </w:pPr>
    <w:r>
      <w:rPr>
        <w:noProof/>
      </w:rPr>
      <w:pict w14:anchorId="207897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8566" o:spid="_x0000_s2050" type="#_x0000_t136" style="position:absolute;margin-left:0;margin-top:0;width:772.5pt;height:54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CFE8" w14:textId="77777777" w:rsidR="00B2675B" w:rsidRDefault="008F035C">
    <w:pPr>
      <w:pStyle w:val="Sidehoved"/>
    </w:pPr>
    <w:r>
      <w:rPr>
        <w:noProof/>
      </w:rPr>
      <w:pict w14:anchorId="4D59AF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8567" o:spid="_x0000_s2051" type="#_x0000_t136" style="position:absolute;margin-left:0;margin-top:0;width:772.5pt;height:54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6441" w14:textId="77777777" w:rsidR="00B2675B" w:rsidRDefault="008F035C">
    <w:pPr>
      <w:pStyle w:val="Sidehoved"/>
    </w:pPr>
    <w:r>
      <w:rPr>
        <w:noProof/>
      </w:rPr>
      <w:pict w14:anchorId="04A0F2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8565" o:spid="_x0000_s2049" type="#_x0000_t136" style="position:absolute;margin-left:0;margin-top:0;width:772.5pt;height:54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47"/>
    <w:rsid w:val="0005403F"/>
    <w:rsid w:val="000705C2"/>
    <w:rsid w:val="00106A37"/>
    <w:rsid w:val="0016067B"/>
    <w:rsid w:val="00322FEB"/>
    <w:rsid w:val="00680B1D"/>
    <w:rsid w:val="006C032A"/>
    <w:rsid w:val="008519EB"/>
    <w:rsid w:val="008D5BB5"/>
    <w:rsid w:val="008F035C"/>
    <w:rsid w:val="00997E99"/>
    <w:rsid w:val="00B2675B"/>
    <w:rsid w:val="00B3734A"/>
    <w:rsid w:val="00D04A13"/>
    <w:rsid w:val="00D83947"/>
    <w:rsid w:val="00D9241D"/>
    <w:rsid w:val="00EB6E72"/>
    <w:rsid w:val="00FA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0ECBD3"/>
  <w15:chartTrackingRefBased/>
  <w15:docId w15:val="{1AE128E9-F23A-4E91-AEBB-9A4630A7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5B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5B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D5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D5B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B26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675B"/>
  </w:style>
  <w:style w:type="paragraph" w:styleId="Sidefod">
    <w:name w:val="footer"/>
    <w:basedOn w:val="Normal"/>
    <w:link w:val="SidefodTegn"/>
    <w:uiPriority w:val="99"/>
    <w:unhideWhenUsed/>
    <w:rsid w:val="00B26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Koda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 Lindhardt</dc:creator>
  <cp:keywords/>
  <dc:description/>
  <cp:lastModifiedBy>Kaspar Lindhardt</cp:lastModifiedBy>
  <cp:revision>4</cp:revision>
  <cp:lastPrinted>2018-10-02T12:16:00Z</cp:lastPrinted>
  <dcterms:created xsi:type="dcterms:W3CDTF">2022-04-04T14:52:00Z</dcterms:created>
  <dcterms:modified xsi:type="dcterms:W3CDTF">2022-04-04T14:54:00Z</dcterms:modified>
</cp:coreProperties>
</file>